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82C" w:rsidRDefault="0059782C" w:rsidP="0059782C">
      <w:pPr>
        <w:spacing w:line="240" w:lineRule="auto"/>
        <w:jc w:val="center"/>
        <w:rPr>
          <w:rFonts w:ascii="Times New Roman" w:hAnsi="Times New Roman" w:cs="Times New Roman"/>
          <w:b/>
          <w:color w:val="000099"/>
          <w:sz w:val="32"/>
          <w:szCs w:val="32"/>
        </w:rPr>
      </w:pPr>
      <w:r>
        <w:rPr>
          <w:rFonts w:ascii="Calibri"/>
          <w:noProof/>
          <w:color w:val="C00000"/>
          <w:sz w:val="32"/>
          <w:szCs w:val="32"/>
        </w:rPr>
        <w:drawing>
          <wp:anchor distT="0" distB="0" distL="114300" distR="114300" simplePos="0" relativeHeight="251659264" behindDoc="1" locked="0" layoutInCell="1" allowOverlap="1">
            <wp:simplePos x="0" y="0"/>
            <wp:positionH relativeFrom="column">
              <wp:posOffset>0</wp:posOffset>
            </wp:positionH>
            <wp:positionV relativeFrom="paragraph">
              <wp:posOffset>1911</wp:posOffset>
            </wp:positionV>
            <wp:extent cx="1079501" cy="1106165"/>
            <wp:effectExtent l="0" t="0" r="6350" b="0"/>
            <wp:wrapNone/>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mo="http://schemas.microsoft.com/office/mac/office/2008/main" xmlns:wpc="http://schemas.microsoft.com/office/word/2010/wordprocessingCanvas" xmlns:cx="http://schemas.microsoft.com/office/drawing/2014/chartex" xmlns:cx1="http://schemas.microsoft.com/office/drawing/2015/9/8/chartex" xmlns:mv="urn:schemas-microsoft-com:mac:vml"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rto="http://schemas.microsoft.com/office/word/2006/arto"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01040000}"/>
                        </a:ext>
                      </a:extLst>
                    </pic:cNvPr>
                    <pic:cNvPicPr>
                      <a:picLocks noChangeAspect="1" noChangeArrowheads="1"/>
                    </pic:cNvPicPr>
                  </pic:nvPicPr>
                  <pic:blipFill>
                    <a:blip r:embed="rId6" cstate="print">
                      <a:extLst>
                        <a:ext uri="{28A0092B-C50C-407E-A947-70E740481C1C}">
                          <a14:useLocalDpi xmlns="" xmlns:mo="http://schemas.microsoft.com/office/mac/office/2008/main" xmlns:wpc="http://schemas.microsoft.com/office/word/2010/wordprocessingCanvas" xmlns:cx="http://schemas.microsoft.com/office/drawing/2014/chartex" xmlns:cx1="http://schemas.microsoft.com/office/drawing/2015/9/8/chartex"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9500" cy="1106170"/>
                    </a:xfrm>
                    <a:prstGeom prst="rect">
                      <a:avLst/>
                    </a:prstGeom>
                    <a:noFill/>
                    <a:ln w="1">
                      <a:noFill/>
                      <a:miter lim="800000"/>
                      <a:headEnd/>
                      <a:tailEnd type="none" w="med" len="med"/>
                    </a:ln>
                    <a:effectLst/>
                  </pic:spPr>
                </pic:pic>
              </a:graphicData>
            </a:graphic>
          </wp:anchor>
        </w:drawing>
      </w:r>
      <w:r>
        <w:rPr>
          <w:rFonts w:ascii="Times New Roman" w:hAnsi="Times New Roman" w:cs="Times New Roman"/>
          <w:b/>
          <w:color w:val="C00000"/>
          <w:sz w:val="32"/>
          <w:szCs w:val="32"/>
        </w:rPr>
        <w:t>THE AMERICAN COLLEGE, MADURAI</w:t>
      </w:r>
    </w:p>
    <w:p w:rsidR="0059782C" w:rsidRDefault="0059782C" w:rsidP="0059782C">
      <w:pPr>
        <w:spacing w:line="240" w:lineRule="auto"/>
        <w:jc w:val="center"/>
        <w:rPr>
          <w:rFonts w:ascii="Times New Roman" w:hAnsi="Times New Roman" w:cs="Times New Roman"/>
          <w:b/>
          <w:color w:val="10035D"/>
          <w:sz w:val="16"/>
          <w:szCs w:val="16"/>
        </w:rPr>
      </w:pPr>
      <w:r>
        <w:rPr>
          <w:rFonts w:ascii="Times New Roman" w:hAnsi="Times New Roman" w:cs="Times New Roman"/>
          <w:b/>
          <w:color w:val="10035D"/>
          <w:sz w:val="16"/>
          <w:szCs w:val="16"/>
        </w:rPr>
        <w:t xml:space="preserve">(An Autonomous Institution Affiliated to Madurai </w:t>
      </w:r>
      <w:proofErr w:type="spellStart"/>
      <w:r>
        <w:rPr>
          <w:rFonts w:ascii="Times New Roman" w:hAnsi="Times New Roman" w:cs="Times New Roman"/>
          <w:b/>
          <w:color w:val="10035D"/>
          <w:sz w:val="16"/>
          <w:szCs w:val="16"/>
        </w:rPr>
        <w:t>Kamaraj</w:t>
      </w:r>
      <w:proofErr w:type="spellEnd"/>
      <w:r>
        <w:rPr>
          <w:rFonts w:ascii="Times New Roman" w:hAnsi="Times New Roman" w:cs="Times New Roman"/>
          <w:b/>
          <w:color w:val="10035D"/>
          <w:sz w:val="16"/>
          <w:szCs w:val="16"/>
        </w:rPr>
        <w:t xml:space="preserve"> University)</w:t>
      </w:r>
    </w:p>
    <w:p w:rsidR="0059782C" w:rsidRDefault="0059782C" w:rsidP="0059782C">
      <w:pPr>
        <w:spacing w:line="240" w:lineRule="auto"/>
        <w:ind w:firstLine="720"/>
        <w:jc w:val="center"/>
        <w:rPr>
          <w:rFonts w:ascii="Times New Roman" w:hAnsi="Times New Roman" w:cs="Times New Roman"/>
          <w:b/>
          <w:sz w:val="16"/>
          <w:szCs w:val="16"/>
        </w:rPr>
      </w:pPr>
      <w:r>
        <w:rPr>
          <w:rFonts w:ascii="Times New Roman" w:hAnsi="Times New Roman" w:cs="Times New Roman"/>
          <w:b/>
          <w:color w:val="10035D"/>
          <w:sz w:val="16"/>
          <w:szCs w:val="16"/>
        </w:rPr>
        <w:t>Re-accredited (2</w:t>
      </w:r>
      <w:r>
        <w:rPr>
          <w:rFonts w:ascii="Times New Roman" w:hAnsi="Times New Roman" w:cs="Times New Roman"/>
          <w:b/>
          <w:color w:val="10035D"/>
          <w:sz w:val="16"/>
          <w:szCs w:val="16"/>
          <w:vertAlign w:val="superscript"/>
        </w:rPr>
        <w:t>nd</w:t>
      </w:r>
      <w:r>
        <w:rPr>
          <w:rFonts w:ascii="Times New Roman" w:hAnsi="Times New Roman" w:cs="Times New Roman"/>
          <w:b/>
          <w:color w:val="10035D"/>
          <w:sz w:val="16"/>
          <w:szCs w:val="16"/>
        </w:rPr>
        <w:t xml:space="preserve"> Cycle) by NAAC with Grade “A” CGPA – 3 .46 on a 4 - point scale</w:t>
      </w:r>
    </w:p>
    <w:p w:rsidR="0059782C" w:rsidRDefault="0059782C" w:rsidP="0059782C">
      <w:pPr>
        <w:spacing w:line="240" w:lineRule="auto"/>
        <w:jc w:val="center"/>
        <w:rPr>
          <w:rFonts w:ascii="Times New Roman" w:hAnsi="Times New Roman" w:cs="Times New Roman"/>
          <w:b/>
          <w:sz w:val="16"/>
          <w:szCs w:val="16"/>
        </w:rPr>
      </w:pPr>
    </w:p>
    <w:p w:rsidR="0059782C" w:rsidRDefault="0059782C" w:rsidP="0059782C">
      <w:pPr>
        <w:spacing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SSR Cycle – 3</w:t>
      </w:r>
    </w:p>
    <w:p w:rsidR="0059782C" w:rsidRDefault="0059782C" w:rsidP="0059782C">
      <w:pPr>
        <w:spacing w:line="36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Criterion 2 – Teaching Learning and Evaluation </w:t>
      </w:r>
    </w:p>
    <w:p w:rsidR="0059782C" w:rsidRPr="00C95AD9" w:rsidRDefault="0059782C" w:rsidP="0059782C">
      <w:pPr>
        <w:pStyle w:val="normal0"/>
        <w:tabs>
          <w:tab w:val="left" w:pos="4340"/>
          <w:tab w:val="center" w:pos="4680"/>
        </w:tabs>
        <w:rPr>
          <w:color w:val="FF0000"/>
        </w:rPr>
      </w:pPr>
      <w:r>
        <w:tab/>
      </w:r>
      <w:r w:rsidRPr="00C95AD9">
        <w:rPr>
          <w:color w:val="FF0000"/>
        </w:rPr>
        <w:t xml:space="preserve"> </w:t>
      </w:r>
    </w:p>
    <w:p w:rsidR="00402267" w:rsidRDefault="0080595F">
      <w:pPr>
        <w:rPr>
          <w:rFonts w:ascii="Times New Roman" w:hAnsi="Times New Roman" w:cs="Times New Roman"/>
          <w:b/>
          <w:sz w:val="24"/>
          <w:szCs w:val="24"/>
        </w:rPr>
      </w:pPr>
      <w:r w:rsidRPr="00402267">
        <w:rPr>
          <w:rFonts w:ascii="Times New Roman" w:hAnsi="Times New Roman" w:cs="Times New Roman"/>
          <w:b/>
          <w:bCs/>
          <w:sz w:val="24"/>
          <w:szCs w:val="24"/>
          <w:lang w:val="en-IN" w:bidi="ta-IN"/>
        </w:rPr>
        <w:t>2.3.4</w:t>
      </w:r>
      <w:r w:rsidR="00402267" w:rsidRPr="00402267">
        <w:rPr>
          <w:rFonts w:ascii="Times New Roman" w:hAnsi="Times New Roman" w:cs="Times New Roman"/>
          <w:b/>
          <w:bCs/>
          <w:sz w:val="24"/>
          <w:szCs w:val="24"/>
          <w:lang w:val="en-IN" w:bidi="ta-IN"/>
        </w:rPr>
        <w:t>Teaching Plan</w:t>
      </w:r>
    </w:p>
    <w:p w:rsidR="00F03348" w:rsidRPr="00402267" w:rsidRDefault="00C91A26">
      <w:pPr>
        <w:rPr>
          <w:rFonts w:ascii="Times New Roman" w:hAnsi="Times New Roman" w:cs="Times New Roman"/>
          <w:b/>
          <w:sz w:val="24"/>
          <w:szCs w:val="24"/>
        </w:rPr>
      </w:pPr>
      <w:r w:rsidRPr="00402267">
        <w:rPr>
          <w:rFonts w:ascii="Times New Roman" w:hAnsi="Times New Roman" w:cs="Times New Roman"/>
          <w:b/>
          <w:sz w:val="24"/>
          <w:szCs w:val="24"/>
        </w:rPr>
        <w:t xml:space="preserve">2.3.4 Preparation and adherence of academic calendar and Teaching plans by the institution. </w:t>
      </w:r>
    </w:p>
    <w:p w:rsidR="00402267" w:rsidRDefault="00C91A26" w:rsidP="00402267">
      <w:pPr>
        <w:rPr>
          <w:rFonts w:ascii="Times New Roman" w:hAnsi="Times New Roman" w:cs="Times New Roman"/>
          <w:b/>
          <w:sz w:val="24"/>
          <w:szCs w:val="24"/>
          <w:lang w:val="en-IN"/>
        </w:rPr>
      </w:pPr>
      <w:r w:rsidRPr="00402267">
        <w:rPr>
          <w:rFonts w:ascii="Times New Roman" w:hAnsi="Times New Roman" w:cs="Times New Roman"/>
          <w:b/>
          <w:sz w:val="24"/>
          <w:szCs w:val="24"/>
        </w:rPr>
        <w:t xml:space="preserve">Describe the preparation and adherence to Academic </w:t>
      </w:r>
      <w:proofErr w:type="spellStart"/>
      <w:r w:rsidRPr="00402267">
        <w:rPr>
          <w:rFonts w:ascii="Times New Roman" w:hAnsi="Times New Roman" w:cs="Times New Roman"/>
          <w:b/>
          <w:sz w:val="24"/>
          <w:szCs w:val="24"/>
        </w:rPr>
        <w:t>Calender</w:t>
      </w:r>
      <w:proofErr w:type="spellEnd"/>
      <w:r w:rsidRPr="00402267">
        <w:rPr>
          <w:rFonts w:ascii="Times New Roman" w:hAnsi="Times New Roman" w:cs="Times New Roman"/>
          <w:b/>
          <w:sz w:val="24"/>
          <w:szCs w:val="24"/>
        </w:rPr>
        <w:t xml:space="preserve"> and Teaching Plans by the Institution within the minimum of 500 characters and maximum of 500 words.</w:t>
      </w:r>
    </w:p>
    <w:p w:rsidR="00EF79DD" w:rsidRPr="00402267" w:rsidRDefault="00EF79DD" w:rsidP="00EF79DD">
      <w:pPr>
        <w:rPr>
          <w:rFonts w:ascii="Times New Roman" w:hAnsi="Times New Roman" w:cs="Times New Roman"/>
          <w:b/>
          <w:sz w:val="24"/>
          <w:szCs w:val="24"/>
          <w:lang w:val="en-IN"/>
        </w:rPr>
      </w:pPr>
      <w:r w:rsidRPr="00402267">
        <w:rPr>
          <w:rFonts w:ascii="Times New Roman" w:hAnsi="Times New Roman" w:cs="Times New Roman"/>
          <w:b/>
          <w:bCs/>
          <w:sz w:val="24"/>
          <w:szCs w:val="24"/>
          <w:lang w:val="en-IN" w:bidi="ta-IN"/>
        </w:rPr>
        <w:t xml:space="preserve">Response </w:t>
      </w:r>
    </w:p>
    <w:p w:rsidR="00EF79DD" w:rsidRPr="00402267" w:rsidRDefault="00EF79DD" w:rsidP="00EF79DD">
      <w:pPr>
        <w:jc w:val="both"/>
        <w:rPr>
          <w:rFonts w:ascii="Times New Roman" w:hAnsi="Times New Roman" w:cs="Times New Roman"/>
          <w:sz w:val="24"/>
          <w:szCs w:val="24"/>
          <w:lang w:val="en-IN" w:bidi="ta-IN"/>
        </w:rPr>
      </w:pPr>
      <w:r w:rsidRPr="00402267">
        <w:rPr>
          <w:rFonts w:ascii="Times New Roman" w:hAnsi="Times New Roman" w:cs="Times New Roman"/>
          <w:sz w:val="24"/>
          <w:szCs w:val="24"/>
          <w:lang w:val="en-IN" w:bidi="ta-IN"/>
        </w:rPr>
        <w:t xml:space="preserve">Teaching and Research are two important academic activities of our college, right from the days of American missionaries who inculcated these values.  The college is fast enough to adapt to new inceptions in the field of teaching and learning.  Choice Based Credit System was implemented in the early stages of its inception, and our faculty have been teaching to meet the expectations of the students’ choice.  Most of our alumni remember their teachers for the teaching they received during their college days. The policy statement of our college is to teach and impart knowledge of global standards with inclusive Christian values for socio-economic uplift. To meet these higher standards in teaching, officers of the college and offices of academic administrators work in tandem at various levels throughout the academic calendar year.  And it begins with a well-planned college calendar that </w:t>
      </w:r>
      <w:proofErr w:type="gramStart"/>
      <w:r w:rsidRPr="00402267">
        <w:rPr>
          <w:rFonts w:ascii="Times New Roman" w:hAnsi="Times New Roman" w:cs="Times New Roman"/>
          <w:sz w:val="24"/>
          <w:szCs w:val="24"/>
          <w:lang w:val="en-IN" w:bidi="ta-IN"/>
        </w:rPr>
        <w:t>provides  the</w:t>
      </w:r>
      <w:proofErr w:type="gramEnd"/>
      <w:r w:rsidRPr="00402267">
        <w:rPr>
          <w:rFonts w:ascii="Times New Roman" w:hAnsi="Times New Roman" w:cs="Times New Roman"/>
          <w:sz w:val="24"/>
          <w:szCs w:val="24"/>
          <w:lang w:val="en-IN" w:bidi="ta-IN"/>
        </w:rPr>
        <w:t xml:space="preserve"> blue print for the  teaching-learning programme for the entire academic year, prepared meticulously by the college under the supervision of Principal and Secretary, and executed successfully by the teaching fraternity. </w:t>
      </w:r>
    </w:p>
    <w:p w:rsidR="00EF79DD" w:rsidRPr="00402267" w:rsidRDefault="00EF79DD" w:rsidP="00EF79DD">
      <w:pPr>
        <w:jc w:val="both"/>
        <w:rPr>
          <w:rFonts w:ascii="Times New Roman" w:hAnsi="Times New Roman" w:cs="Times New Roman"/>
          <w:sz w:val="24"/>
          <w:szCs w:val="24"/>
          <w:lang w:val="en-IN" w:bidi="ta-IN"/>
        </w:rPr>
      </w:pPr>
      <w:r w:rsidRPr="00402267">
        <w:rPr>
          <w:rFonts w:ascii="Times New Roman" w:hAnsi="Times New Roman" w:cs="Times New Roman"/>
          <w:sz w:val="24"/>
          <w:szCs w:val="24"/>
          <w:lang w:val="en-IN" w:bidi="ta-IN"/>
        </w:rPr>
        <w:t xml:space="preserve">Department functions, cultural activities and other programmes are held either on non-working days, or after class hours, to keep the class hours free from any kind of interference.  Timetable committee, headed by the Head of respective departments, allots courses for their faculty members well ahead in the beginning of a semester, and sends individual timetable to the faculty members, after being approved and signed by the Head of the Department. Each department sends a copy of its timetable to the administrative office in order to map individual timetable in the college website. Each faculty will have his/her timetable online, and attendances of the students are also marked in the college website for every hour of teaching. The soft and hard copies of the college calendar are given to the faculty to mark their teaching plan on them in the </w:t>
      </w:r>
      <w:r w:rsidRPr="00402267">
        <w:rPr>
          <w:rFonts w:ascii="Times New Roman" w:hAnsi="Times New Roman" w:cs="Times New Roman"/>
          <w:sz w:val="24"/>
          <w:szCs w:val="24"/>
          <w:lang w:val="en-IN" w:bidi="ta-IN"/>
        </w:rPr>
        <w:lastRenderedPageBreak/>
        <w:t xml:space="preserve">beginning of a new academic year. At the end of an academic year, the completed teaching plan marked in excel sheet format is emailed to the exclusive institutional email id created every year for the purpose of receiving the Teaching Plan.  </w:t>
      </w:r>
    </w:p>
    <w:p w:rsidR="00EF79DD" w:rsidRPr="00402267" w:rsidRDefault="00EF79DD" w:rsidP="00EF79DD">
      <w:pPr>
        <w:jc w:val="both"/>
        <w:rPr>
          <w:rFonts w:ascii="Times New Roman" w:hAnsi="Times New Roman" w:cs="Times New Roman"/>
          <w:sz w:val="24"/>
          <w:szCs w:val="24"/>
          <w:lang w:val="en-IN" w:bidi="ta-IN"/>
        </w:rPr>
      </w:pPr>
      <w:r w:rsidRPr="00402267">
        <w:rPr>
          <w:rFonts w:ascii="Times New Roman" w:hAnsi="Times New Roman" w:cs="Times New Roman"/>
          <w:sz w:val="24"/>
          <w:szCs w:val="24"/>
          <w:lang w:val="en-IN" w:bidi="ta-IN"/>
        </w:rPr>
        <w:t xml:space="preserve">When teachers are on leave, the learning process of the students does not suffer.  Faculty assign work to the students related to their teaching plan. The students go to library or get connected to online lessons through college Wi-Fi and complete their work.  The entire campus is Wi-Fi enabled, in order to make the students reach out to online resources, and each department is equipped with overhead projectors and smart classrooms. The college also has very good infrastructure to learn inside the library, as well as outside the library.  Inside the library there are sufficient tables for students to read, and they can also use the computers provided for them to fetch online materials.  </w:t>
      </w:r>
    </w:p>
    <w:p w:rsidR="00C91A26" w:rsidRPr="00402267" w:rsidRDefault="00C91A26" w:rsidP="00EF79DD">
      <w:pPr>
        <w:rPr>
          <w:rFonts w:ascii="Times New Roman" w:hAnsi="Times New Roman" w:cs="Times New Roman"/>
          <w:sz w:val="24"/>
          <w:szCs w:val="24"/>
        </w:rPr>
      </w:pPr>
    </w:p>
    <w:sectPr w:rsidR="00C91A26" w:rsidRPr="00402267" w:rsidSect="00F033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3697C"/>
    <w:multiLevelType w:val="hybridMultilevel"/>
    <w:tmpl w:val="B1A808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C91A26"/>
    <w:rsid w:val="000606E0"/>
    <w:rsid w:val="000A4728"/>
    <w:rsid w:val="002124BB"/>
    <w:rsid w:val="00212EF9"/>
    <w:rsid w:val="002C0088"/>
    <w:rsid w:val="00402267"/>
    <w:rsid w:val="00577632"/>
    <w:rsid w:val="0059782C"/>
    <w:rsid w:val="0080595F"/>
    <w:rsid w:val="00813A56"/>
    <w:rsid w:val="008904C7"/>
    <w:rsid w:val="00A877BA"/>
    <w:rsid w:val="00AD2DEA"/>
    <w:rsid w:val="00C529FE"/>
    <w:rsid w:val="00C91A26"/>
    <w:rsid w:val="00EF79DD"/>
    <w:rsid w:val="00F03348"/>
    <w:rsid w:val="00F54C39"/>
    <w:rsid w:val="00F82D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3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728"/>
    <w:pPr>
      <w:ind w:left="720"/>
      <w:contextualSpacing/>
    </w:pPr>
  </w:style>
  <w:style w:type="character" w:styleId="Hyperlink">
    <w:name w:val="Hyperlink"/>
    <w:basedOn w:val="DefaultParagraphFont"/>
    <w:uiPriority w:val="99"/>
    <w:unhideWhenUsed/>
    <w:rsid w:val="000A4728"/>
    <w:rPr>
      <w:color w:val="0000FF" w:themeColor="hyperlink"/>
      <w:u w:val="single"/>
    </w:rPr>
  </w:style>
  <w:style w:type="character" w:styleId="FollowedHyperlink">
    <w:name w:val="FollowedHyperlink"/>
    <w:basedOn w:val="DefaultParagraphFont"/>
    <w:uiPriority w:val="99"/>
    <w:semiHidden/>
    <w:unhideWhenUsed/>
    <w:rsid w:val="00212EF9"/>
    <w:rPr>
      <w:color w:val="800080" w:themeColor="followedHyperlink"/>
      <w:u w:val="single"/>
    </w:rPr>
  </w:style>
  <w:style w:type="paragraph" w:customStyle="1" w:styleId="normal0">
    <w:name w:val="normal"/>
    <w:rsid w:val="0059782C"/>
    <w:pPr>
      <w:spacing w:after="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45913-F780-40F8-91EB-DB43E170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12</cp:revision>
  <dcterms:created xsi:type="dcterms:W3CDTF">2021-02-18T07:39:00Z</dcterms:created>
  <dcterms:modified xsi:type="dcterms:W3CDTF">2021-03-23T09:30:00Z</dcterms:modified>
</cp:coreProperties>
</file>